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FC" w:rsidRDefault="009735FC" w:rsidP="00E049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E049EF" w:rsidRPr="00E049EF" w:rsidRDefault="00E049EF" w:rsidP="00E049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E049EF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Congreso internacional</w:t>
      </w:r>
    </w:p>
    <w:p w:rsidR="00E049EF" w:rsidRPr="00E049EF" w:rsidRDefault="00E049EF" w:rsidP="00E049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E049EF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Estrategias actuales en materia de Mediación y Arbitraje comercial</w:t>
      </w:r>
    </w:p>
    <w:p w:rsidR="00E049EF" w:rsidRDefault="00E049EF" w:rsidP="00FC0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de abril de 2018</w:t>
      </w:r>
    </w:p>
    <w:p w:rsidR="005818C9" w:rsidRDefault="005818C9" w:rsidP="00FC0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Facultad de Derecho </w:t>
      </w:r>
      <w:r w:rsidR="009735F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Universidad de Alcalá</w:t>
      </w:r>
    </w:p>
    <w:p w:rsidR="00604C3A" w:rsidRDefault="00604C3A" w:rsidP="00FC0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954" w:rsidRPr="00604C3A" w:rsidRDefault="00FC0954" w:rsidP="00FC095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04C3A">
        <w:rPr>
          <w:rFonts w:ascii="Times New Roman" w:hAnsi="Times New Roman" w:cs="Times New Roman"/>
          <w:b/>
          <w:sz w:val="24"/>
          <w:szCs w:val="24"/>
          <w:lang w:val="en-GB"/>
        </w:rPr>
        <w:t>CALL OF PAPERS</w:t>
      </w:r>
    </w:p>
    <w:p w:rsidR="00C776EA" w:rsidRPr="00604C3A" w:rsidRDefault="00C776EA" w:rsidP="00FC095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04C3A">
        <w:rPr>
          <w:rFonts w:ascii="Times New Roman" w:hAnsi="Times New Roman" w:cs="Times New Roman"/>
          <w:b/>
          <w:sz w:val="24"/>
          <w:szCs w:val="24"/>
          <w:lang w:val="en-GB"/>
        </w:rPr>
        <w:t xml:space="preserve">I. </w:t>
      </w:r>
      <w:bookmarkStart w:id="0" w:name="_GoBack"/>
      <w:bookmarkEnd w:id="0"/>
      <w:r w:rsidR="00D53333" w:rsidRPr="00604C3A">
        <w:rPr>
          <w:rFonts w:ascii="Times New Roman" w:hAnsi="Times New Roman" w:cs="Times New Roman"/>
          <w:b/>
          <w:sz w:val="24"/>
          <w:szCs w:val="24"/>
          <w:lang w:val="en-GB"/>
        </w:rPr>
        <w:t>Object</w:t>
      </w:r>
    </w:p>
    <w:p w:rsidR="00C776EA" w:rsidRPr="00604C3A" w:rsidRDefault="009735FC" w:rsidP="00FC095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04C3A">
        <w:rPr>
          <w:rFonts w:ascii="Times New Roman" w:hAnsi="Times New Roman" w:cs="Times New Roman"/>
          <w:b/>
          <w:sz w:val="24"/>
          <w:szCs w:val="24"/>
          <w:lang w:val="en-GB"/>
        </w:rPr>
        <w:t xml:space="preserve">- </w:t>
      </w:r>
      <w:r w:rsidR="00D53333" w:rsidRPr="00D53333">
        <w:rPr>
          <w:rFonts w:ascii="Times New Roman" w:hAnsi="Times New Roman" w:cs="Times New Roman"/>
          <w:b/>
          <w:sz w:val="24"/>
          <w:szCs w:val="24"/>
          <w:lang w:val="en-GB"/>
        </w:rPr>
        <w:t>General overview</w:t>
      </w:r>
      <w:r w:rsidR="00C776EA" w:rsidRPr="00604C3A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D53333" w:rsidRDefault="00D53333" w:rsidP="00D53333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D53333">
        <w:rPr>
          <w:rFonts w:ascii="Times New Roman" w:hAnsi="Times New Roman" w:cs="Times New Roman"/>
          <w:sz w:val="24"/>
          <w:szCs w:val="24"/>
          <w:lang w:val="en"/>
        </w:rPr>
        <w:t>The arbitration procedure provides a mechanism that has many advantages and multiple possibilities to satisfactorily resolv</w:t>
      </w:r>
      <w:r>
        <w:rPr>
          <w:rFonts w:ascii="Times New Roman" w:hAnsi="Times New Roman" w:cs="Times New Roman"/>
          <w:sz w:val="24"/>
          <w:szCs w:val="24"/>
          <w:lang w:val="en"/>
        </w:rPr>
        <w:t>ing</w:t>
      </w:r>
      <w:r w:rsidRPr="00D53333">
        <w:rPr>
          <w:rFonts w:ascii="Times New Roman" w:hAnsi="Times New Roman" w:cs="Times New Roman"/>
          <w:sz w:val="24"/>
          <w:szCs w:val="24"/>
          <w:lang w:val="en"/>
        </w:rPr>
        <w:t xml:space="preserve"> a dispute.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D53333">
        <w:rPr>
          <w:rFonts w:ascii="Times New Roman" w:hAnsi="Times New Roman" w:cs="Times New Roman"/>
          <w:sz w:val="24"/>
          <w:szCs w:val="24"/>
          <w:lang w:val="en"/>
        </w:rPr>
        <w:t xml:space="preserve">The characteristics of arbitration tend to </w:t>
      </w:r>
      <w:proofErr w:type="gramStart"/>
      <w:r w:rsidRPr="00D53333">
        <w:rPr>
          <w:rFonts w:ascii="Times New Roman" w:hAnsi="Times New Roman" w:cs="Times New Roman"/>
          <w:sz w:val="24"/>
          <w:szCs w:val="24"/>
          <w:lang w:val="en"/>
        </w:rPr>
        <w:t>be based</w:t>
      </w:r>
      <w:proofErr w:type="gramEnd"/>
      <w:r w:rsidRPr="00D53333">
        <w:rPr>
          <w:rFonts w:ascii="Times New Roman" w:hAnsi="Times New Roman" w:cs="Times New Roman"/>
          <w:sz w:val="24"/>
          <w:szCs w:val="24"/>
          <w:lang w:val="en"/>
        </w:rPr>
        <w:t xml:space="preserve"> on a series of common places that include notions such as freedom, decentralization or absence of formalities</w:t>
      </w:r>
      <w:r>
        <w:rPr>
          <w:rFonts w:ascii="Times New Roman" w:hAnsi="Times New Roman" w:cs="Times New Roman"/>
          <w:sz w:val="24"/>
          <w:szCs w:val="24"/>
          <w:lang w:val="en"/>
        </w:rPr>
        <w:t>. The ADR a</w:t>
      </w:r>
      <w:r w:rsidRPr="00D53333">
        <w:rPr>
          <w:rFonts w:ascii="Times New Roman" w:hAnsi="Times New Roman" w:cs="Times New Roman"/>
          <w:sz w:val="24"/>
          <w:szCs w:val="24"/>
          <w:lang w:val="en"/>
        </w:rPr>
        <w:t>re often added supposed comparative advantages against the state jurisdiction: celerity, confidentiality, specialization, economy of material and human resources, less degree of confrontation between the parties, flexibility, greater participation of the parties in the process, and immediacy be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tween these and the arbitrator. </w:t>
      </w:r>
      <w:r w:rsidRPr="00D53333">
        <w:rPr>
          <w:rFonts w:ascii="Times New Roman" w:hAnsi="Times New Roman" w:cs="Times New Roman"/>
          <w:sz w:val="24"/>
          <w:szCs w:val="24"/>
          <w:lang w:val="en"/>
        </w:rPr>
        <w:t>These characteristics and comparative advantages lead to the assertion that arbitration is a system that can offer a more efficient option than the procedure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before the state jurisdiction. </w:t>
      </w:r>
      <w:r w:rsidRPr="00D53333">
        <w:rPr>
          <w:rFonts w:ascii="Times New Roman" w:hAnsi="Times New Roman" w:cs="Times New Roman"/>
          <w:sz w:val="24"/>
          <w:szCs w:val="24"/>
          <w:lang w:val="en"/>
        </w:rPr>
        <w:t>For this reason, arbitration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and mediation</w:t>
      </w:r>
      <w:r w:rsidRPr="00D5333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"/>
        </w:rPr>
        <w:t>are</w:t>
      </w:r>
      <w:r w:rsidRPr="00D53333">
        <w:rPr>
          <w:rFonts w:ascii="Times New Roman" w:hAnsi="Times New Roman" w:cs="Times New Roman"/>
          <w:sz w:val="24"/>
          <w:szCs w:val="24"/>
          <w:lang w:val="en"/>
        </w:rPr>
        <w:t xml:space="preserve"> the essential instrument</w:t>
      </w:r>
      <w:r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D53333">
        <w:rPr>
          <w:rFonts w:ascii="Times New Roman" w:hAnsi="Times New Roman" w:cs="Times New Roman"/>
          <w:sz w:val="24"/>
          <w:szCs w:val="24"/>
          <w:lang w:val="en"/>
        </w:rPr>
        <w:t xml:space="preserve"> of dispute resolution in the business world and its teaching is essential both from a theoretical and, pre</w:t>
      </w:r>
      <w:r>
        <w:rPr>
          <w:rFonts w:ascii="Times New Roman" w:hAnsi="Times New Roman" w:cs="Times New Roman"/>
          <w:sz w:val="24"/>
          <w:szCs w:val="24"/>
          <w:lang w:val="en"/>
        </w:rPr>
        <w:t>ferably, practical perspective.</w:t>
      </w:r>
    </w:p>
    <w:p w:rsidR="00D53333" w:rsidRPr="00D53333" w:rsidRDefault="00D53333" w:rsidP="00D5333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3333">
        <w:rPr>
          <w:rFonts w:ascii="Times New Roman" w:hAnsi="Times New Roman" w:cs="Times New Roman"/>
          <w:sz w:val="24"/>
          <w:szCs w:val="24"/>
          <w:lang w:val="en"/>
        </w:rPr>
        <w:t xml:space="preserve">The objective of the </w:t>
      </w:r>
      <w:r>
        <w:rPr>
          <w:rFonts w:ascii="Times New Roman" w:hAnsi="Times New Roman" w:cs="Times New Roman"/>
          <w:sz w:val="24"/>
          <w:szCs w:val="24"/>
          <w:lang w:val="en"/>
        </w:rPr>
        <w:t>Conference</w:t>
      </w:r>
      <w:r w:rsidRPr="00D53333">
        <w:rPr>
          <w:rFonts w:ascii="Times New Roman" w:hAnsi="Times New Roman" w:cs="Times New Roman"/>
          <w:sz w:val="24"/>
          <w:szCs w:val="24"/>
          <w:lang w:val="en"/>
        </w:rPr>
        <w:t xml:space="preserve"> is to bring the academic, legal and business world closer to the field of extrajudicial dispute resolution mechanisms, assessing their impact on the activity of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operators and future prospects. </w:t>
      </w:r>
      <w:r w:rsidRPr="00D53333">
        <w:rPr>
          <w:rFonts w:ascii="Times New Roman" w:hAnsi="Times New Roman" w:cs="Times New Roman"/>
          <w:sz w:val="24"/>
          <w:szCs w:val="24"/>
          <w:lang w:val="en"/>
        </w:rPr>
        <w:t>In addition, it will approach the phenomenon trying to provide basic tools to help understand and analyze the different dimensions involved.</w:t>
      </w:r>
    </w:p>
    <w:p w:rsidR="009735FC" w:rsidRPr="00D53333" w:rsidRDefault="009735FC" w:rsidP="00FC095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776EA" w:rsidRPr="00D53333" w:rsidRDefault="009735FC" w:rsidP="00FC095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3333">
        <w:rPr>
          <w:rFonts w:ascii="Times New Roman" w:hAnsi="Times New Roman" w:cs="Times New Roman"/>
          <w:b/>
          <w:sz w:val="24"/>
          <w:szCs w:val="24"/>
          <w:lang w:val="en-GB"/>
        </w:rPr>
        <w:t xml:space="preserve">- </w:t>
      </w:r>
      <w:r w:rsidR="00D53333" w:rsidRPr="00D53333">
        <w:rPr>
          <w:rFonts w:ascii="Times New Roman" w:hAnsi="Times New Roman" w:cs="Times New Roman"/>
          <w:b/>
          <w:sz w:val="24"/>
          <w:szCs w:val="24"/>
          <w:lang w:val="en-GB"/>
        </w:rPr>
        <w:t>Thematic areas of the</w:t>
      </w:r>
      <w:r w:rsidR="00D5333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Conference</w:t>
      </w:r>
      <w:r w:rsidR="00C776EA" w:rsidRPr="00D53333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D53333" w:rsidRPr="00D53333" w:rsidRDefault="00D53333" w:rsidP="00D5333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3333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Taking as a starting point the common thread of the Congress, different thematic </w:t>
      </w:r>
      <w:r>
        <w:rPr>
          <w:rFonts w:ascii="Times New Roman" w:hAnsi="Times New Roman" w:cs="Times New Roman"/>
          <w:sz w:val="24"/>
          <w:szCs w:val="24"/>
          <w:lang w:val="en-GB"/>
        </w:rPr>
        <w:t>areas</w:t>
      </w:r>
      <w:r w:rsidRPr="00D53333">
        <w:rPr>
          <w:rFonts w:ascii="Times New Roman" w:hAnsi="Times New Roman" w:cs="Times New Roman"/>
          <w:sz w:val="24"/>
          <w:szCs w:val="24"/>
          <w:lang w:val="en-GB"/>
        </w:rPr>
        <w:t xml:space="preserve"> are established, whose common denominator is to evaluate the current strategies in terms of mediation and commercial arbitration.</w:t>
      </w:r>
    </w:p>
    <w:p w:rsidR="00D53333" w:rsidRPr="00D53333" w:rsidRDefault="00D53333" w:rsidP="00D53333">
      <w:pPr>
        <w:jc w:val="both"/>
        <w:rPr>
          <w:rFonts w:ascii="Times New Roman" w:hAnsi="Times New Roman" w:cs="Times New Roman"/>
          <w:sz w:val="24"/>
          <w:szCs w:val="24"/>
        </w:rPr>
      </w:pPr>
      <w:r w:rsidRPr="00D5333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3333">
        <w:rPr>
          <w:rFonts w:ascii="Times New Roman" w:hAnsi="Times New Roman" w:cs="Times New Roman"/>
          <w:sz w:val="24"/>
          <w:szCs w:val="24"/>
        </w:rPr>
        <w:t>Mediation</w:t>
      </w:r>
      <w:proofErr w:type="spellEnd"/>
      <w:r w:rsidRPr="00D5333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5333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53333">
        <w:rPr>
          <w:rFonts w:ascii="Times New Roman" w:hAnsi="Times New Roman" w:cs="Times New Roman"/>
          <w:sz w:val="24"/>
          <w:szCs w:val="24"/>
        </w:rPr>
        <w:t xml:space="preserve"> EU</w:t>
      </w:r>
    </w:p>
    <w:p w:rsidR="00D53333" w:rsidRPr="00D53333" w:rsidRDefault="00D53333" w:rsidP="00D5333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3333">
        <w:rPr>
          <w:rFonts w:ascii="Times New Roman" w:hAnsi="Times New Roman" w:cs="Times New Roman"/>
          <w:sz w:val="24"/>
          <w:szCs w:val="24"/>
          <w:lang w:val="en-GB"/>
        </w:rPr>
        <w:t xml:space="preserve">1. Challenges and trends of conflict resolution systems. Mediation as a means of conflict </w:t>
      </w:r>
      <w:proofErr w:type="gramStart"/>
      <w:r w:rsidRPr="00D53333">
        <w:rPr>
          <w:rFonts w:ascii="Times New Roman" w:hAnsi="Times New Roman" w:cs="Times New Roman"/>
          <w:sz w:val="24"/>
          <w:szCs w:val="24"/>
          <w:lang w:val="en-GB"/>
        </w:rPr>
        <w:t>resolution</w:t>
      </w:r>
      <w:proofErr w:type="gramEnd"/>
      <w:r w:rsidRPr="00D53333">
        <w:rPr>
          <w:rFonts w:ascii="Times New Roman" w:hAnsi="Times New Roman" w:cs="Times New Roman"/>
          <w:sz w:val="24"/>
          <w:szCs w:val="24"/>
          <w:lang w:val="en-GB"/>
        </w:rPr>
        <w:t>. Present and future of commercial mediation. Alternative systems for conflict resolution and justice: negotiation</w:t>
      </w:r>
    </w:p>
    <w:p w:rsidR="00D53333" w:rsidRPr="00D53333" w:rsidRDefault="00D53333" w:rsidP="00D5333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3333">
        <w:rPr>
          <w:rFonts w:ascii="Times New Roman" w:hAnsi="Times New Roman" w:cs="Times New Roman"/>
          <w:sz w:val="24"/>
          <w:szCs w:val="24"/>
          <w:lang w:val="en-GB"/>
        </w:rPr>
        <w:t>- Commercial arbitration</w:t>
      </w:r>
    </w:p>
    <w:p w:rsidR="00D53333" w:rsidRPr="00D53333" w:rsidRDefault="00D53333" w:rsidP="00D5333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3333">
        <w:rPr>
          <w:rFonts w:ascii="Times New Roman" w:hAnsi="Times New Roman" w:cs="Times New Roman"/>
          <w:sz w:val="24"/>
          <w:szCs w:val="24"/>
          <w:lang w:val="en-GB"/>
        </w:rPr>
        <w:t>2. International regulation of arbitration: institutional problems and legislative techniques.</w:t>
      </w:r>
    </w:p>
    <w:p w:rsidR="00D53333" w:rsidRPr="00D53333" w:rsidRDefault="00D53333" w:rsidP="00D5333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3333">
        <w:rPr>
          <w:rFonts w:ascii="Times New Roman" w:hAnsi="Times New Roman" w:cs="Times New Roman"/>
          <w:sz w:val="24"/>
          <w:szCs w:val="24"/>
          <w:lang w:val="en-GB"/>
        </w:rPr>
        <w:t>3. The Arbitration Agreement Arbitration procedure. Organization of arbitration proceedings and hearings.</w:t>
      </w:r>
    </w:p>
    <w:p w:rsidR="00B136B6" w:rsidRPr="00D53333" w:rsidRDefault="00D53333" w:rsidP="00D5333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3333">
        <w:rPr>
          <w:rFonts w:ascii="Times New Roman" w:hAnsi="Times New Roman" w:cs="Times New Roman"/>
          <w:sz w:val="24"/>
          <w:szCs w:val="24"/>
          <w:lang w:val="en-GB"/>
        </w:rPr>
        <w:t xml:space="preserve">4. Arbitral award. Law applied by the arbitrators to the dispute. </w:t>
      </w:r>
      <w:proofErr w:type="spellStart"/>
      <w:r w:rsidRPr="00D53333">
        <w:rPr>
          <w:rFonts w:ascii="Times New Roman" w:hAnsi="Times New Roman" w:cs="Times New Roman"/>
          <w:sz w:val="24"/>
          <w:szCs w:val="24"/>
          <w:lang w:val="en-GB"/>
        </w:rPr>
        <w:t>Arbitrability</w:t>
      </w:r>
      <w:proofErr w:type="spellEnd"/>
      <w:r w:rsidRPr="00D53333">
        <w:rPr>
          <w:rFonts w:ascii="Times New Roman" w:hAnsi="Times New Roman" w:cs="Times New Roman"/>
          <w:sz w:val="24"/>
          <w:szCs w:val="24"/>
          <w:lang w:val="en-GB"/>
        </w:rPr>
        <w:t xml:space="preserve"> and public order. Relations between judges and arbitrators. Judicial control of arbitration. Recognition and enforcement of foreign arbitral awards in the European Union.</w:t>
      </w:r>
    </w:p>
    <w:p w:rsidR="00D53333" w:rsidRDefault="00D53333" w:rsidP="00FC09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6EA" w:rsidRPr="00D53333" w:rsidRDefault="00C776EA" w:rsidP="00FC095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3333">
        <w:rPr>
          <w:rFonts w:ascii="Times New Roman" w:hAnsi="Times New Roman" w:cs="Times New Roman"/>
          <w:b/>
          <w:sz w:val="24"/>
          <w:szCs w:val="24"/>
          <w:lang w:val="en-GB"/>
        </w:rPr>
        <w:t xml:space="preserve">II. </w:t>
      </w:r>
      <w:r w:rsidR="00D53333" w:rsidRPr="00D53333">
        <w:rPr>
          <w:rFonts w:ascii="Times New Roman" w:hAnsi="Times New Roman" w:cs="Times New Roman"/>
          <w:b/>
          <w:sz w:val="24"/>
          <w:szCs w:val="24"/>
          <w:lang w:val="en-GB"/>
        </w:rPr>
        <w:t>SUBMISSION AND ACCEPTANCE OF PROPOSALS</w:t>
      </w:r>
    </w:p>
    <w:p w:rsidR="00D53333" w:rsidRPr="00D53333" w:rsidRDefault="009735FC" w:rsidP="00D5333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3333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="00D53333" w:rsidRPr="00D53333">
        <w:rPr>
          <w:b/>
          <w:lang w:val="en-GB"/>
        </w:rPr>
        <w:t xml:space="preserve"> </w:t>
      </w:r>
      <w:r w:rsidR="00D53333" w:rsidRPr="00D53333">
        <w:rPr>
          <w:rFonts w:ascii="Times New Roman" w:hAnsi="Times New Roman" w:cs="Times New Roman"/>
          <w:b/>
          <w:sz w:val="24"/>
          <w:szCs w:val="24"/>
          <w:lang w:val="en-GB"/>
        </w:rPr>
        <w:t>Formal requirements:</w:t>
      </w:r>
    </w:p>
    <w:p w:rsidR="00D53333" w:rsidRPr="00D53333" w:rsidRDefault="00D53333" w:rsidP="00D5333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3333">
        <w:rPr>
          <w:rFonts w:ascii="Times New Roman" w:hAnsi="Times New Roman" w:cs="Times New Roman"/>
          <w:sz w:val="24"/>
          <w:szCs w:val="24"/>
          <w:lang w:val="en-GB"/>
        </w:rPr>
        <w:t xml:space="preserve">The following documents </w:t>
      </w:r>
      <w:proofErr w:type="gramStart"/>
      <w:r w:rsidRPr="00D53333">
        <w:rPr>
          <w:rFonts w:ascii="Times New Roman" w:hAnsi="Times New Roman" w:cs="Times New Roman"/>
          <w:sz w:val="24"/>
          <w:szCs w:val="24"/>
          <w:lang w:val="en-GB"/>
        </w:rPr>
        <w:t>must be submitted</w:t>
      </w:r>
      <w:proofErr w:type="gramEnd"/>
      <w:r w:rsidRPr="00D53333">
        <w:rPr>
          <w:rFonts w:ascii="Times New Roman" w:hAnsi="Times New Roman" w:cs="Times New Roman"/>
          <w:sz w:val="24"/>
          <w:szCs w:val="24"/>
          <w:lang w:val="en-GB"/>
        </w:rPr>
        <w:t xml:space="preserve"> in Word format:</w:t>
      </w:r>
    </w:p>
    <w:p w:rsidR="00D53333" w:rsidRPr="00D53333" w:rsidRDefault="00D53333" w:rsidP="00D5333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3333">
        <w:rPr>
          <w:rFonts w:ascii="Times New Roman" w:hAnsi="Times New Roman" w:cs="Times New Roman"/>
          <w:sz w:val="24"/>
          <w:szCs w:val="24"/>
          <w:lang w:val="en-GB"/>
        </w:rPr>
        <w:t>-1. A document with the following information only: title of the proposal; name of the candidate; home university; academic position.</w:t>
      </w:r>
    </w:p>
    <w:p w:rsidR="00D53333" w:rsidRPr="00D53333" w:rsidRDefault="00D53333" w:rsidP="00D5333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3333">
        <w:rPr>
          <w:rFonts w:ascii="Times New Roman" w:hAnsi="Times New Roman" w:cs="Times New Roman"/>
          <w:sz w:val="24"/>
          <w:szCs w:val="24"/>
          <w:lang w:val="en-GB"/>
        </w:rPr>
        <w:t>-2. Summary of the proposal (without indication of the name of the candidate, but only the title, contents and 3-5 keywords), of 1000-1500 words.</w:t>
      </w:r>
    </w:p>
    <w:p w:rsidR="00D53333" w:rsidRPr="00D53333" w:rsidRDefault="00D53333" w:rsidP="00D5333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3333">
        <w:rPr>
          <w:rFonts w:ascii="Times New Roman" w:hAnsi="Times New Roman" w:cs="Times New Roman"/>
          <w:b/>
          <w:sz w:val="24"/>
          <w:szCs w:val="24"/>
          <w:lang w:val="en-GB"/>
        </w:rPr>
        <w:t>- Substantive content and selection:</w:t>
      </w:r>
    </w:p>
    <w:p w:rsidR="00D53333" w:rsidRPr="00D53333" w:rsidRDefault="00D53333" w:rsidP="00D5333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3333">
        <w:rPr>
          <w:rFonts w:ascii="Times New Roman" w:hAnsi="Times New Roman" w:cs="Times New Roman"/>
          <w:sz w:val="24"/>
          <w:szCs w:val="24"/>
          <w:lang w:val="en-GB"/>
        </w:rPr>
        <w:t xml:space="preserve">The Scientific Committee will select the papers to </w:t>
      </w:r>
      <w:proofErr w:type="gramStart"/>
      <w:r w:rsidRPr="00D53333">
        <w:rPr>
          <w:rFonts w:ascii="Times New Roman" w:hAnsi="Times New Roman" w:cs="Times New Roman"/>
          <w:sz w:val="24"/>
          <w:szCs w:val="24"/>
          <w:lang w:val="en-GB"/>
        </w:rPr>
        <w:t>be presented</w:t>
      </w:r>
      <w:proofErr w:type="gramEnd"/>
      <w:r w:rsidRPr="00D53333">
        <w:rPr>
          <w:rFonts w:ascii="Times New Roman" w:hAnsi="Times New Roman" w:cs="Times New Roman"/>
          <w:sz w:val="24"/>
          <w:szCs w:val="24"/>
          <w:lang w:val="en-GB"/>
        </w:rPr>
        <w:t xml:space="preserve"> on the Conference on April 24th according to the following criteria:</w:t>
      </w:r>
    </w:p>
    <w:p w:rsidR="00D53333" w:rsidRPr="00D53333" w:rsidRDefault="00D53333" w:rsidP="00D5333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3333">
        <w:rPr>
          <w:rFonts w:ascii="Times New Roman" w:hAnsi="Times New Roman" w:cs="Times New Roman"/>
          <w:sz w:val="24"/>
          <w:szCs w:val="24"/>
          <w:lang w:val="en-GB"/>
        </w:rPr>
        <w:t>-1. Relevance of the topic;</w:t>
      </w:r>
    </w:p>
    <w:p w:rsidR="00D53333" w:rsidRPr="00D53333" w:rsidRDefault="00D53333" w:rsidP="00D5333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3333">
        <w:rPr>
          <w:rFonts w:ascii="Times New Roman" w:hAnsi="Times New Roman" w:cs="Times New Roman"/>
          <w:sz w:val="24"/>
          <w:szCs w:val="24"/>
          <w:lang w:val="en-GB"/>
        </w:rPr>
        <w:t>-2. Quality of the approach;</w:t>
      </w:r>
    </w:p>
    <w:p w:rsidR="00D53333" w:rsidRPr="00D53333" w:rsidRDefault="00D53333" w:rsidP="00D5333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3333">
        <w:rPr>
          <w:rFonts w:ascii="Times New Roman" w:hAnsi="Times New Roman" w:cs="Times New Roman"/>
          <w:sz w:val="24"/>
          <w:szCs w:val="24"/>
          <w:lang w:val="en-GB"/>
        </w:rPr>
        <w:t>-3. Originality.</w:t>
      </w:r>
    </w:p>
    <w:p w:rsidR="00D53333" w:rsidRPr="00D53333" w:rsidRDefault="00D53333" w:rsidP="00D5333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Pr="00D5333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Deadline, address for submissions and confirmation of acceptance:</w:t>
      </w:r>
    </w:p>
    <w:p w:rsidR="00D53333" w:rsidRPr="00D53333" w:rsidRDefault="00D53333" w:rsidP="00D5333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3333">
        <w:rPr>
          <w:rFonts w:ascii="Times New Roman" w:hAnsi="Times New Roman" w:cs="Times New Roman"/>
          <w:sz w:val="24"/>
          <w:szCs w:val="24"/>
          <w:lang w:val="en-GB"/>
        </w:rPr>
        <w:t xml:space="preserve">Proposals </w:t>
      </w:r>
      <w:proofErr w:type="gramStart"/>
      <w:r w:rsidRPr="00D53333">
        <w:rPr>
          <w:rFonts w:ascii="Times New Roman" w:hAnsi="Times New Roman" w:cs="Times New Roman"/>
          <w:sz w:val="24"/>
          <w:szCs w:val="24"/>
          <w:lang w:val="en-GB"/>
        </w:rPr>
        <w:t>may be submitted</w:t>
      </w:r>
      <w:proofErr w:type="gramEnd"/>
      <w:r w:rsidRPr="00D53333">
        <w:rPr>
          <w:rFonts w:ascii="Times New Roman" w:hAnsi="Times New Roman" w:cs="Times New Roman"/>
          <w:sz w:val="24"/>
          <w:szCs w:val="24"/>
          <w:lang w:val="en-GB"/>
        </w:rPr>
        <w:t xml:space="preserve"> before April 1, 2018.</w:t>
      </w:r>
    </w:p>
    <w:p w:rsidR="00D53333" w:rsidRPr="00D53333" w:rsidRDefault="00D53333" w:rsidP="00D5333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3333">
        <w:rPr>
          <w:rFonts w:ascii="Times New Roman" w:hAnsi="Times New Roman" w:cs="Times New Roman"/>
          <w:sz w:val="24"/>
          <w:szCs w:val="24"/>
          <w:lang w:val="en-GB"/>
        </w:rPr>
        <w:t xml:space="preserve">They should be sent </w:t>
      </w:r>
      <w:proofErr w:type="gramStart"/>
      <w:r w:rsidRPr="00D53333">
        <w:rPr>
          <w:rFonts w:ascii="Times New Roman" w:hAnsi="Times New Roman" w:cs="Times New Roman"/>
          <w:sz w:val="24"/>
          <w:szCs w:val="24"/>
          <w:lang w:val="en-GB"/>
        </w:rPr>
        <w:t>to:</w:t>
      </w:r>
      <w:proofErr w:type="gramEnd"/>
      <w:r w:rsidRPr="00D53333">
        <w:rPr>
          <w:rFonts w:ascii="Times New Roman" w:hAnsi="Times New Roman" w:cs="Times New Roman"/>
          <w:sz w:val="24"/>
          <w:szCs w:val="24"/>
          <w:lang w:val="en-GB"/>
        </w:rPr>
        <w:t xml:space="preserve"> a.fernandezperez@uah.es.</w:t>
      </w:r>
    </w:p>
    <w:p w:rsidR="00D53333" w:rsidRPr="00D53333" w:rsidRDefault="00D53333" w:rsidP="00D5333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3333">
        <w:rPr>
          <w:rFonts w:ascii="Times New Roman" w:hAnsi="Times New Roman" w:cs="Times New Roman"/>
          <w:sz w:val="24"/>
          <w:szCs w:val="24"/>
          <w:lang w:val="en-GB"/>
        </w:rPr>
        <w:t xml:space="preserve">Initially, formal confirmation of receipt </w:t>
      </w:r>
      <w:proofErr w:type="gramStart"/>
      <w:r w:rsidRPr="00D53333">
        <w:rPr>
          <w:rFonts w:ascii="Times New Roman" w:hAnsi="Times New Roman" w:cs="Times New Roman"/>
          <w:sz w:val="24"/>
          <w:szCs w:val="24"/>
          <w:lang w:val="en-GB"/>
        </w:rPr>
        <w:t>will be given</w:t>
      </w:r>
      <w:proofErr w:type="gramEnd"/>
      <w:r w:rsidRPr="00D5333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735FC" w:rsidRPr="00D53333" w:rsidRDefault="00D53333" w:rsidP="00D5333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53333">
        <w:rPr>
          <w:rFonts w:ascii="Times New Roman" w:hAnsi="Times New Roman" w:cs="Times New Roman"/>
          <w:sz w:val="24"/>
          <w:szCs w:val="24"/>
          <w:lang w:val="en-GB"/>
        </w:rPr>
        <w:t xml:space="preserve">Before April 10, 2018, the rejection or acceptance of the proposal </w:t>
      </w:r>
      <w:proofErr w:type="gramStart"/>
      <w:r w:rsidRPr="00D53333">
        <w:rPr>
          <w:rFonts w:ascii="Times New Roman" w:hAnsi="Times New Roman" w:cs="Times New Roman"/>
          <w:sz w:val="24"/>
          <w:szCs w:val="24"/>
          <w:lang w:val="en-GB"/>
        </w:rPr>
        <w:t>will be communicated</w:t>
      </w:r>
      <w:proofErr w:type="gramEnd"/>
      <w:r w:rsidRPr="00D5333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735FC" w:rsidRDefault="009735FC" w:rsidP="00FC09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6EA" w:rsidRPr="00D53333" w:rsidRDefault="00C776EA" w:rsidP="00FC095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3333">
        <w:rPr>
          <w:rFonts w:ascii="Times New Roman" w:hAnsi="Times New Roman" w:cs="Times New Roman"/>
          <w:b/>
          <w:sz w:val="24"/>
          <w:szCs w:val="24"/>
          <w:lang w:val="en-GB"/>
        </w:rPr>
        <w:t xml:space="preserve">III. </w:t>
      </w:r>
      <w:r w:rsidR="00D53333" w:rsidRPr="00D53333">
        <w:rPr>
          <w:rFonts w:ascii="Times New Roman" w:hAnsi="Times New Roman" w:cs="Times New Roman"/>
          <w:b/>
          <w:sz w:val="24"/>
          <w:szCs w:val="24"/>
          <w:lang w:val="en-GB"/>
        </w:rPr>
        <w:t>PUBLICATION</w:t>
      </w:r>
    </w:p>
    <w:p w:rsidR="009735FC" w:rsidRPr="00D53333" w:rsidRDefault="00D53333" w:rsidP="00FC0954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53333">
        <w:rPr>
          <w:rFonts w:ascii="Times New Roman" w:hAnsi="Times New Roman" w:cs="Times New Roman"/>
          <w:sz w:val="24"/>
          <w:szCs w:val="24"/>
          <w:lang w:val="en-GB"/>
        </w:rPr>
        <w:t>The papers and communications accepted and presented within the framework of this Con</w:t>
      </w:r>
      <w:r w:rsidR="00892461">
        <w:rPr>
          <w:rFonts w:ascii="Times New Roman" w:hAnsi="Times New Roman" w:cs="Times New Roman"/>
          <w:sz w:val="24"/>
          <w:szCs w:val="24"/>
          <w:lang w:val="en-GB"/>
        </w:rPr>
        <w:t>ference</w:t>
      </w:r>
      <w:r w:rsidRPr="00D53333">
        <w:rPr>
          <w:rFonts w:ascii="Times New Roman" w:hAnsi="Times New Roman" w:cs="Times New Roman"/>
          <w:sz w:val="24"/>
          <w:szCs w:val="24"/>
          <w:lang w:val="en-GB"/>
        </w:rPr>
        <w:t xml:space="preserve"> will be published in the </w:t>
      </w:r>
      <w:r w:rsidR="00892461">
        <w:rPr>
          <w:rFonts w:ascii="Times New Roman" w:hAnsi="Times New Roman" w:cs="Times New Roman"/>
          <w:sz w:val="24"/>
          <w:szCs w:val="24"/>
          <w:lang w:val="en-GB"/>
        </w:rPr>
        <w:t>Journal</w:t>
      </w:r>
      <w:r w:rsidRPr="00D53333">
        <w:rPr>
          <w:rFonts w:ascii="Times New Roman" w:hAnsi="Times New Roman" w:cs="Times New Roman"/>
          <w:sz w:val="24"/>
          <w:szCs w:val="24"/>
          <w:lang w:val="en-GB"/>
        </w:rPr>
        <w:t xml:space="preserve"> "</w:t>
      </w:r>
      <w:proofErr w:type="spellStart"/>
      <w:r w:rsidRPr="00D53333">
        <w:rPr>
          <w:rFonts w:ascii="Times New Roman" w:hAnsi="Times New Roman" w:cs="Times New Roman"/>
          <w:sz w:val="24"/>
          <w:szCs w:val="24"/>
          <w:lang w:val="en-GB"/>
        </w:rPr>
        <w:t>Arbitra</w:t>
      </w:r>
      <w:r w:rsidR="00892461">
        <w:rPr>
          <w:rFonts w:ascii="Times New Roman" w:hAnsi="Times New Roman" w:cs="Times New Roman"/>
          <w:sz w:val="24"/>
          <w:szCs w:val="24"/>
          <w:lang w:val="en-GB"/>
        </w:rPr>
        <w:t>je</w:t>
      </w:r>
      <w:proofErr w:type="spellEnd"/>
      <w:r w:rsidRPr="00D53333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892461">
        <w:rPr>
          <w:rFonts w:ascii="Times New Roman" w:hAnsi="Times New Roman" w:cs="Times New Roman"/>
          <w:sz w:val="24"/>
          <w:szCs w:val="24"/>
          <w:lang w:val="en-GB"/>
        </w:rPr>
        <w:t>Revista</w:t>
      </w:r>
      <w:proofErr w:type="spellEnd"/>
      <w:r w:rsidR="00892461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892461">
        <w:rPr>
          <w:rFonts w:ascii="Times New Roman" w:hAnsi="Times New Roman" w:cs="Times New Roman"/>
          <w:sz w:val="24"/>
          <w:szCs w:val="24"/>
          <w:lang w:val="en-GB"/>
        </w:rPr>
        <w:t>Arbitraje</w:t>
      </w:r>
      <w:proofErr w:type="spellEnd"/>
      <w:r w:rsidR="008924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92461">
        <w:rPr>
          <w:rFonts w:ascii="Times New Roman" w:hAnsi="Times New Roman" w:cs="Times New Roman"/>
          <w:sz w:val="24"/>
          <w:szCs w:val="24"/>
          <w:lang w:val="en-GB"/>
        </w:rPr>
        <w:t>Comercial</w:t>
      </w:r>
      <w:proofErr w:type="spellEnd"/>
      <w:r w:rsidR="00892461">
        <w:rPr>
          <w:rFonts w:ascii="Times New Roman" w:hAnsi="Times New Roman" w:cs="Times New Roman"/>
          <w:sz w:val="24"/>
          <w:szCs w:val="24"/>
          <w:lang w:val="en-GB"/>
        </w:rPr>
        <w:t xml:space="preserve"> y de </w:t>
      </w:r>
      <w:proofErr w:type="spellStart"/>
      <w:r w:rsidR="00892461">
        <w:rPr>
          <w:rFonts w:ascii="Times New Roman" w:hAnsi="Times New Roman" w:cs="Times New Roman"/>
          <w:sz w:val="24"/>
          <w:szCs w:val="24"/>
          <w:lang w:val="en-GB"/>
        </w:rPr>
        <w:t>Inversiones</w:t>
      </w:r>
      <w:proofErr w:type="spellEnd"/>
      <w:r w:rsidRPr="00D53333">
        <w:rPr>
          <w:rFonts w:ascii="Times New Roman" w:hAnsi="Times New Roman" w:cs="Times New Roman"/>
          <w:sz w:val="24"/>
          <w:szCs w:val="24"/>
          <w:lang w:val="en-GB"/>
        </w:rPr>
        <w:t xml:space="preserve">". The final text of accepted communications </w:t>
      </w:r>
      <w:proofErr w:type="gramStart"/>
      <w:r w:rsidRPr="00D53333">
        <w:rPr>
          <w:rFonts w:ascii="Times New Roman" w:hAnsi="Times New Roman" w:cs="Times New Roman"/>
          <w:sz w:val="24"/>
          <w:szCs w:val="24"/>
          <w:lang w:val="en-GB"/>
        </w:rPr>
        <w:t>must be sent</w:t>
      </w:r>
      <w:proofErr w:type="gramEnd"/>
      <w:r w:rsidRPr="00D53333">
        <w:rPr>
          <w:rFonts w:ascii="Times New Roman" w:hAnsi="Times New Roman" w:cs="Times New Roman"/>
          <w:sz w:val="24"/>
          <w:szCs w:val="24"/>
          <w:lang w:val="en-GB"/>
        </w:rPr>
        <w:t xml:space="preserve"> before May 30, 2018.</w:t>
      </w:r>
    </w:p>
    <w:p w:rsidR="00C776EA" w:rsidRPr="00FC0954" w:rsidRDefault="00C776EA" w:rsidP="00FC09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954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7F30FE" w:rsidRPr="007F30FE">
        <w:rPr>
          <w:rFonts w:ascii="Times New Roman" w:hAnsi="Times New Roman" w:cs="Times New Roman"/>
          <w:b/>
          <w:sz w:val="24"/>
          <w:szCs w:val="24"/>
        </w:rPr>
        <w:t>SCIENTIFIC COMMITTEE</w:t>
      </w:r>
    </w:p>
    <w:p w:rsidR="00C776EA" w:rsidRPr="00892461" w:rsidRDefault="00892461" w:rsidP="00FC09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92461">
        <w:rPr>
          <w:rFonts w:ascii="Times New Roman" w:hAnsi="Times New Roman" w:cs="Times New Roman"/>
          <w:sz w:val="24"/>
          <w:szCs w:val="24"/>
          <w:lang w:val="en-GB"/>
        </w:rPr>
        <w:t>The Scientific Committee in charge of the selection process and the subsequent quality assessment for publication is comprised of the following members:</w:t>
      </w:r>
    </w:p>
    <w:p w:rsidR="004F5C37" w:rsidRPr="004F5C37" w:rsidRDefault="004F5C37" w:rsidP="004F5C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C37">
        <w:rPr>
          <w:rFonts w:ascii="Times New Roman" w:hAnsi="Times New Roman" w:cs="Times New Roman"/>
          <w:sz w:val="24"/>
          <w:szCs w:val="24"/>
        </w:rPr>
        <w:t xml:space="preserve">Prof. Dr. Bertrand </w:t>
      </w:r>
      <w:proofErr w:type="spellStart"/>
      <w:r w:rsidRPr="004F5C37">
        <w:rPr>
          <w:rFonts w:ascii="Times New Roman" w:hAnsi="Times New Roman" w:cs="Times New Roman"/>
          <w:sz w:val="24"/>
          <w:szCs w:val="24"/>
        </w:rPr>
        <w:t>Ancel</w:t>
      </w:r>
      <w:proofErr w:type="spellEnd"/>
      <w:r w:rsidRPr="004F5C37">
        <w:rPr>
          <w:rFonts w:ascii="Times New Roman" w:hAnsi="Times New Roman" w:cs="Times New Roman"/>
          <w:sz w:val="24"/>
          <w:szCs w:val="24"/>
        </w:rPr>
        <w:t xml:space="preserve"> (Catedrático de la Universidad París II- ASSAS)</w:t>
      </w:r>
    </w:p>
    <w:p w:rsidR="004F5C37" w:rsidRPr="004F5C37" w:rsidRDefault="004F5C37" w:rsidP="004F5C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C37">
        <w:rPr>
          <w:rFonts w:ascii="Times New Roman" w:hAnsi="Times New Roman" w:cs="Times New Roman"/>
          <w:sz w:val="24"/>
          <w:szCs w:val="24"/>
        </w:rPr>
        <w:t>Prof. Dr. José Mª Espinar Vicente (Catedrático de la Universidad de Alcalá de Henares)</w:t>
      </w:r>
    </w:p>
    <w:p w:rsidR="004F5C37" w:rsidRPr="004F5C37" w:rsidRDefault="004F5C37" w:rsidP="004F5C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C37">
        <w:rPr>
          <w:rFonts w:ascii="Times New Roman" w:hAnsi="Times New Roman" w:cs="Times New Roman"/>
          <w:sz w:val="24"/>
          <w:szCs w:val="24"/>
        </w:rPr>
        <w:t>Prof. Dr. José Carlos Fernández Rozas (Catedrático de Derecho internacional privado de la Universidad Complutense de Madrid)</w:t>
      </w:r>
    </w:p>
    <w:p w:rsidR="004F5C37" w:rsidRPr="004F5C37" w:rsidRDefault="004F5C37" w:rsidP="004F5C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C37">
        <w:rPr>
          <w:rFonts w:ascii="Times New Roman" w:hAnsi="Times New Roman" w:cs="Times New Roman"/>
          <w:sz w:val="24"/>
          <w:szCs w:val="24"/>
        </w:rPr>
        <w:t xml:space="preserve">Prof. Dr. Miguel Gómez </w:t>
      </w:r>
      <w:proofErr w:type="spellStart"/>
      <w:r w:rsidRPr="004F5C37">
        <w:rPr>
          <w:rFonts w:ascii="Times New Roman" w:hAnsi="Times New Roman" w:cs="Times New Roman"/>
          <w:sz w:val="24"/>
          <w:szCs w:val="24"/>
        </w:rPr>
        <w:t>Jene</w:t>
      </w:r>
      <w:proofErr w:type="spellEnd"/>
      <w:r w:rsidRPr="004F5C37">
        <w:rPr>
          <w:rFonts w:ascii="Times New Roman" w:hAnsi="Times New Roman" w:cs="Times New Roman"/>
          <w:sz w:val="24"/>
          <w:szCs w:val="24"/>
        </w:rPr>
        <w:t xml:space="preserve"> (Catedrático de la UNED)</w:t>
      </w:r>
    </w:p>
    <w:p w:rsidR="004F5C37" w:rsidRPr="004F5C37" w:rsidRDefault="004F5C37" w:rsidP="004F5C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C37">
        <w:rPr>
          <w:rFonts w:ascii="Times New Roman" w:hAnsi="Times New Roman" w:cs="Times New Roman"/>
          <w:sz w:val="24"/>
          <w:szCs w:val="24"/>
        </w:rPr>
        <w:t>Prof. Dra. María Marcos González (Catedrática de la Universidad de Alcalá de Henares)</w:t>
      </w:r>
    </w:p>
    <w:p w:rsidR="004F5C37" w:rsidRPr="004F5C37" w:rsidRDefault="004F5C37" w:rsidP="004F5C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C37">
        <w:rPr>
          <w:rFonts w:ascii="Times New Roman" w:hAnsi="Times New Roman" w:cs="Times New Roman"/>
          <w:sz w:val="24"/>
          <w:szCs w:val="24"/>
        </w:rPr>
        <w:t>Prof. Dr. Sixto A. Sánchez Lorenzo (Catedrático de la Universidad de Granada)</w:t>
      </w:r>
    </w:p>
    <w:p w:rsidR="004F5C37" w:rsidRPr="004F5C37" w:rsidRDefault="004F5C37" w:rsidP="004F5C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F5C37">
        <w:rPr>
          <w:rFonts w:ascii="Times New Roman" w:hAnsi="Times New Roman" w:cs="Times New Roman"/>
          <w:sz w:val="24"/>
          <w:szCs w:val="24"/>
          <w:lang w:val="en-GB"/>
        </w:rPr>
        <w:t>Prof.</w:t>
      </w:r>
      <w:proofErr w:type="spellEnd"/>
      <w:r w:rsidRPr="004F5C37">
        <w:rPr>
          <w:rFonts w:ascii="Times New Roman" w:hAnsi="Times New Roman" w:cs="Times New Roman"/>
          <w:sz w:val="24"/>
          <w:szCs w:val="24"/>
          <w:lang w:val="en-GB"/>
        </w:rPr>
        <w:t xml:space="preserve"> Dra. Marta </w:t>
      </w:r>
      <w:proofErr w:type="spellStart"/>
      <w:r w:rsidRPr="004F5C37">
        <w:rPr>
          <w:rFonts w:ascii="Times New Roman" w:hAnsi="Times New Roman" w:cs="Times New Roman"/>
          <w:sz w:val="24"/>
          <w:szCs w:val="24"/>
          <w:lang w:val="en-GB"/>
        </w:rPr>
        <w:t>Requejo</w:t>
      </w:r>
      <w:proofErr w:type="spellEnd"/>
      <w:r w:rsidRPr="004F5C37">
        <w:rPr>
          <w:rFonts w:ascii="Times New Roman" w:hAnsi="Times New Roman" w:cs="Times New Roman"/>
          <w:sz w:val="24"/>
          <w:szCs w:val="24"/>
          <w:lang w:val="en-GB"/>
        </w:rPr>
        <w:t xml:space="preserve"> Isidro (Senior Research Fellow Max Planck Institute Luxembourg for Procedural Law)</w:t>
      </w:r>
    </w:p>
    <w:p w:rsidR="005818C9" w:rsidRPr="004F5C37" w:rsidRDefault="005818C9" w:rsidP="00FC095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818C9" w:rsidRPr="004F5C37" w:rsidSect="009735FC">
      <w:headerReference w:type="default" r:id="rId7"/>
      <w:pgSz w:w="11906" w:h="16838"/>
      <w:pgMar w:top="1701" w:right="1701" w:bottom="170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333" w:rsidRDefault="00D53333" w:rsidP="009735FC">
      <w:pPr>
        <w:spacing w:after="0" w:line="240" w:lineRule="auto"/>
      </w:pPr>
      <w:r>
        <w:separator/>
      </w:r>
    </w:p>
  </w:endnote>
  <w:endnote w:type="continuationSeparator" w:id="0">
    <w:p w:rsidR="00D53333" w:rsidRDefault="00D53333" w:rsidP="0097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333" w:rsidRDefault="00D53333" w:rsidP="009735FC">
      <w:pPr>
        <w:spacing w:after="0" w:line="240" w:lineRule="auto"/>
      </w:pPr>
      <w:r>
        <w:separator/>
      </w:r>
    </w:p>
  </w:footnote>
  <w:footnote w:type="continuationSeparator" w:id="0">
    <w:p w:rsidR="00D53333" w:rsidRDefault="00D53333" w:rsidP="0097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333" w:rsidRDefault="00D53333" w:rsidP="009735FC">
    <w:pPr>
      <w:pStyle w:val="Encabezado"/>
      <w:ind w:hanging="1134"/>
      <w:jc w:val="both"/>
    </w:pPr>
    <w:r>
      <w:rPr>
        <w:noProof/>
        <w:lang w:eastAsia="es-ES"/>
      </w:rPr>
      <w:drawing>
        <wp:inline distT="0" distB="0" distL="0" distR="0">
          <wp:extent cx="2400300" cy="720090"/>
          <wp:effectExtent l="0" t="0" r="0" b="381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187" cy="726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5086F"/>
    <w:multiLevelType w:val="multilevel"/>
    <w:tmpl w:val="5D78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EA"/>
    <w:rsid w:val="000B699D"/>
    <w:rsid w:val="00276F14"/>
    <w:rsid w:val="002B195C"/>
    <w:rsid w:val="004F5C37"/>
    <w:rsid w:val="005818C9"/>
    <w:rsid w:val="00604C3A"/>
    <w:rsid w:val="007D6AB0"/>
    <w:rsid w:val="007F30FE"/>
    <w:rsid w:val="0084638D"/>
    <w:rsid w:val="00892461"/>
    <w:rsid w:val="009735FC"/>
    <w:rsid w:val="00A93170"/>
    <w:rsid w:val="00B136B6"/>
    <w:rsid w:val="00BC3C70"/>
    <w:rsid w:val="00C71E16"/>
    <w:rsid w:val="00C776EA"/>
    <w:rsid w:val="00D44433"/>
    <w:rsid w:val="00D53333"/>
    <w:rsid w:val="00E049EF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4D589E9-CCB2-4130-9C6A-291C2BC0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095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5F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35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5FC"/>
  </w:style>
  <w:style w:type="paragraph" w:styleId="Piedepgina">
    <w:name w:val="footer"/>
    <w:basedOn w:val="Normal"/>
    <w:link w:val="PiedepginaCar"/>
    <w:uiPriority w:val="99"/>
    <w:unhideWhenUsed/>
    <w:rsid w:val="009735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5FC"/>
  </w:style>
  <w:style w:type="paragraph" w:styleId="Prrafodelista">
    <w:name w:val="List Paragraph"/>
    <w:basedOn w:val="Normal"/>
    <w:uiPriority w:val="34"/>
    <w:qFormat/>
    <w:rsid w:val="0097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784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155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591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3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652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104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9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Pérez Ana</dc:creator>
  <cp:keywords/>
  <dc:description/>
  <cp:lastModifiedBy>Fernández Pérez Ana</cp:lastModifiedBy>
  <cp:revision>4</cp:revision>
  <cp:lastPrinted>2018-02-14T15:49:00Z</cp:lastPrinted>
  <dcterms:created xsi:type="dcterms:W3CDTF">2018-02-14T16:11:00Z</dcterms:created>
  <dcterms:modified xsi:type="dcterms:W3CDTF">2018-02-14T16:11:00Z</dcterms:modified>
</cp:coreProperties>
</file>